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00" w:type="dxa"/>
        <w:jc w:val="center"/>
        <w:tblCellSpacing w:w="0" w:type="dxa"/>
        <w:tblCellMar>
          <w:left w:w="0" w:type="dxa"/>
          <w:right w:w="0" w:type="dxa"/>
        </w:tblCellMar>
        <w:tblLook w:val="04A0" w:firstRow="1" w:lastRow="0" w:firstColumn="1" w:lastColumn="0" w:noHBand="0" w:noVBand="1"/>
      </w:tblPr>
      <w:tblGrid>
        <w:gridCol w:w="9270"/>
      </w:tblGrid>
      <w:tr w:rsidR="00492884" w:rsidTr="00492884">
        <w:trPr>
          <w:tblCellSpacing w:w="0" w:type="dxa"/>
          <w:jc w:val="center"/>
        </w:trPr>
        <w:tc>
          <w:tcPr>
            <w:tcW w:w="0" w:type="auto"/>
            <w:shd w:val="clear" w:color="auto" w:fill="FFFFFF"/>
            <w:hideMark/>
          </w:tcPr>
          <w:tbl>
            <w:tblPr>
              <w:tblW w:w="9270" w:type="dxa"/>
              <w:jc w:val="center"/>
              <w:tblCellSpacing w:w="0" w:type="dxa"/>
              <w:tblCellMar>
                <w:left w:w="0" w:type="dxa"/>
                <w:right w:w="0" w:type="dxa"/>
              </w:tblCellMar>
              <w:tblLook w:val="04A0" w:firstRow="1" w:lastRow="0" w:firstColumn="1" w:lastColumn="0" w:noHBand="0" w:noVBand="1"/>
            </w:tblPr>
            <w:tblGrid>
              <w:gridCol w:w="9270"/>
            </w:tblGrid>
            <w:tr w:rsidR="00492884" w:rsidTr="00492884">
              <w:trPr>
                <w:tblCellSpacing w:w="0" w:type="dxa"/>
                <w:jc w:val="center"/>
              </w:trPr>
              <w:tc>
                <w:tcPr>
                  <w:tcW w:w="5000" w:type="pct"/>
                  <w:vAlign w:val="center"/>
                  <w:hideMark/>
                </w:tcPr>
                <w:p w:rsidR="00492884" w:rsidRDefault="00492884">
                  <w:pPr>
                    <w:pStyle w:val="Heading2"/>
                    <w:spacing w:before="0" w:beforeAutospacing="0" w:after="75" w:afterAutospacing="0"/>
                    <w:rPr>
                      <w:rFonts w:ascii="Arial" w:eastAsiaTheme="minorHAnsi" w:hAnsi="Arial" w:cs="Arial"/>
                      <w:color w:val="007CBA"/>
                      <w:sz w:val="29"/>
                      <w:szCs w:val="29"/>
                    </w:rPr>
                  </w:pPr>
                  <w:r w:rsidRPr="00EC723D">
                    <w:rPr>
                      <w:rFonts w:ascii="Georgia" w:hAnsi="Georgia"/>
                      <w:noProof/>
                      <w:color w:val="333333"/>
                    </w:rPr>
                    <w:drawing>
                      <wp:inline distT="0" distB="0" distL="0" distR="0" wp14:anchorId="1AC4E086" wp14:editId="0DE62E87">
                        <wp:extent cx="4572000" cy="3067050"/>
                        <wp:effectExtent l="0" t="0" r="0" b="0"/>
                        <wp:docPr id="1" name="Picture 1" descr="Powder Infant Formation container with Product Co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der Infant Formation container with Product Cod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572000" cy="3067050"/>
                                </a:xfrm>
                                <a:prstGeom prst="rect">
                                  <a:avLst/>
                                </a:prstGeom>
                                <a:noFill/>
                                <a:ln>
                                  <a:noFill/>
                                </a:ln>
                              </pic:spPr>
                            </pic:pic>
                          </a:graphicData>
                        </a:graphic>
                      </wp:inline>
                    </w:drawing>
                  </w:r>
                </w:p>
                <w:p w:rsidR="00492884" w:rsidRDefault="00492884">
                  <w:pPr>
                    <w:pStyle w:val="Heading2"/>
                    <w:spacing w:before="0" w:beforeAutospacing="0" w:after="75" w:afterAutospacing="0"/>
                    <w:rPr>
                      <w:rFonts w:ascii="Arial" w:eastAsiaTheme="minorHAnsi" w:hAnsi="Arial" w:cs="Arial"/>
                      <w:color w:val="007CBA"/>
                      <w:sz w:val="29"/>
                      <w:szCs w:val="29"/>
                    </w:rPr>
                  </w:pPr>
                </w:p>
                <w:p w:rsidR="00492884" w:rsidRDefault="00492884">
                  <w:pPr>
                    <w:pStyle w:val="Heading2"/>
                    <w:spacing w:before="0" w:beforeAutospacing="0" w:after="75" w:afterAutospacing="0"/>
                    <w:rPr>
                      <w:rFonts w:ascii="Arial" w:eastAsiaTheme="minorHAnsi" w:hAnsi="Arial" w:cs="Arial"/>
                      <w:color w:val="007CBA"/>
                      <w:sz w:val="29"/>
                      <w:szCs w:val="29"/>
                    </w:rPr>
                  </w:pPr>
                  <w:hyperlink r:id="rId5" w:tgtFrame="_blank" w:tooltip="Abbott Voluntarily Expands Recall of Powder Formulas Manufactured at One Plant" w:history="1">
                    <w:r>
                      <w:rPr>
                        <w:rStyle w:val="Hyperlink"/>
                        <w:rFonts w:ascii="Arial" w:eastAsiaTheme="minorHAnsi" w:hAnsi="Arial" w:cs="Arial"/>
                        <w:color w:val="007CBA"/>
                        <w:sz w:val="29"/>
                        <w:szCs w:val="29"/>
                      </w:rPr>
                      <w:t>Abbott Voluntarily Expands Recall of Powder Formulas Manufactured at One Plant</w:t>
                    </w:r>
                  </w:hyperlink>
                </w:p>
                <w:p w:rsidR="00492884" w:rsidRDefault="00492884">
                  <w:pPr>
                    <w:pStyle w:val="Heading2"/>
                    <w:spacing w:before="0" w:beforeAutospacing="0" w:after="75" w:afterAutospacing="0"/>
                    <w:rPr>
                      <w:rFonts w:ascii="Arial" w:eastAsiaTheme="minorHAnsi" w:hAnsi="Arial" w:cs="Arial"/>
                      <w:color w:val="007CBA"/>
                      <w:sz w:val="29"/>
                      <w:szCs w:val="29"/>
                    </w:rPr>
                  </w:pPr>
                </w:p>
                <w:p w:rsidR="00492884" w:rsidRDefault="00492884">
                  <w:pPr>
                    <w:pStyle w:val="NormalWeb"/>
                    <w:spacing w:before="0" w:beforeAutospacing="0" w:after="225" w:afterAutospacing="0"/>
                    <w:rPr>
                      <w:rFonts w:ascii="Arial" w:hAnsi="Arial" w:cs="Arial"/>
                      <w:color w:val="000000"/>
                      <w:sz w:val="21"/>
                      <w:szCs w:val="21"/>
                    </w:rPr>
                  </w:pPr>
                  <w:r>
                    <w:rPr>
                      <w:rStyle w:val="Strong"/>
                      <w:rFonts w:ascii="Arial" w:hAnsi="Arial" w:cs="Arial"/>
                      <w:color w:val="000000"/>
                      <w:sz w:val="21"/>
                      <w:szCs w:val="21"/>
                    </w:rPr>
                    <w:t>02.28.2022 EXPANDED</w:t>
                  </w:r>
                  <w:r>
                    <w:rPr>
                      <w:rFonts w:ascii="Arial" w:hAnsi="Arial" w:cs="Arial"/>
                      <w:color w:val="000000"/>
                      <w:sz w:val="21"/>
                      <w:szCs w:val="21"/>
                    </w:rPr>
                    <w:t xml:space="preserve">: Abbott is voluntarily recalling one lot of </w:t>
                  </w:r>
                  <w:proofErr w:type="spellStart"/>
                  <w:r>
                    <w:rPr>
                      <w:rFonts w:ascii="Arial" w:hAnsi="Arial" w:cs="Arial"/>
                      <w:color w:val="000000"/>
                      <w:sz w:val="21"/>
                      <w:szCs w:val="21"/>
                    </w:rPr>
                    <w:t>Similac</w:t>
                  </w:r>
                  <w:proofErr w:type="spellEnd"/>
                  <w:r>
                    <w:rPr>
                      <w:rFonts w:ascii="Arial" w:hAnsi="Arial" w:cs="Arial"/>
                      <w:color w:val="000000"/>
                      <w:sz w:val="21"/>
                      <w:szCs w:val="21"/>
                    </w:rPr>
                    <w:t xml:space="preserve"> PM 60/40 (Lot # 27032K80 (can) / Lot # 27032K800 (case)) manufactured in Sturgis, Michigan. This is in addition to lots of </w:t>
                  </w:r>
                  <w:proofErr w:type="spellStart"/>
                  <w:r>
                    <w:rPr>
                      <w:rFonts w:ascii="Arial" w:hAnsi="Arial" w:cs="Arial"/>
                      <w:color w:val="000000"/>
                      <w:sz w:val="21"/>
                      <w:szCs w:val="21"/>
                    </w:rPr>
                    <w:t>Similac</w:t>
                  </w:r>
                  <w:proofErr w:type="spellEnd"/>
                  <w:r>
                    <w:rPr>
                      <w:rFonts w:ascii="Arial" w:hAnsi="Arial" w:cs="Arial"/>
                      <w:color w:val="000000"/>
                      <w:sz w:val="21"/>
                      <w:szCs w:val="21"/>
                    </w:rPr>
                    <w:t xml:space="preserve">®, </w:t>
                  </w:r>
                  <w:proofErr w:type="spellStart"/>
                  <w:r>
                    <w:rPr>
                      <w:rFonts w:ascii="Arial" w:hAnsi="Arial" w:cs="Arial"/>
                      <w:color w:val="000000"/>
                      <w:sz w:val="21"/>
                      <w:szCs w:val="21"/>
                    </w:rPr>
                    <w:t>Alimentum</w:t>
                  </w:r>
                  <w:proofErr w:type="spellEnd"/>
                  <w:r>
                    <w:rPr>
                      <w:rFonts w:ascii="Arial" w:hAnsi="Arial" w:cs="Arial"/>
                      <w:color w:val="000000"/>
                      <w:sz w:val="21"/>
                      <w:szCs w:val="21"/>
                    </w:rPr>
                    <w:t xml:space="preserve">® and </w:t>
                  </w:r>
                  <w:proofErr w:type="spellStart"/>
                  <w:r>
                    <w:rPr>
                      <w:rFonts w:ascii="Arial" w:hAnsi="Arial" w:cs="Arial"/>
                      <w:color w:val="000000"/>
                      <w:sz w:val="21"/>
                      <w:szCs w:val="21"/>
                    </w:rPr>
                    <w:t>EleCare</w:t>
                  </w:r>
                  <w:proofErr w:type="spellEnd"/>
                  <w:r>
                    <w:rPr>
                      <w:rFonts w:ascii="Arial" w:hAnsi="Arial" w:cs="Arial"/>
                      <w:color w:val="000000"/>
                      <w:sz w:val="21"/>
                      <w:szCs w:val="21"/>
                    </w:rPr>
                    <w:t>® powder formula that were voluntarily recalled on Feb. 17. The action comes after learning of the death of an infant who tested positive for </w:t>
                  </w:r>
                  <w:proofErr w:type="spellStart"/>
                  <w:r>
                    <w:rPr>
                      <w:rStyle w:val="Emphasis"/>
                      <w:rFonts w:ascii="Arial" w:hAnsi="Arial" w:cs="Arial"/>
                      <w:color w:val="000000"/>
                      <w:sz w:val="21"/>
                      <w:szCs w:val="21"/>
                    </w:rPr>
                    <w:t>Cronobacter</w:t>
                  </w:r>
                  <w:proofErr w:type="spellEnd"/>
                  <w:r>
                    <w:rPr>
                      <w:rStyle w:val="Emphasis"/>
                      <w:rFonts w:ascii="Arial" w:hAnsi="Arial" w:cs="Arial"/>
                      <w:color w:val="000000"/>
                      <w:sz w:val="21"/>
                      <w:szCs w:val="21"/>
                    </w:rPr>
                    <w:t xml:space="preserve"> </w:t>
                  </w:r>
                  <w:proofErr w:type="spellStart"/>
                  <w:r>
                    <w:rPr>
                      <w:rStyle w:val="Emphasis"/>
                      <w:rFonts w:ascii="Arial" w:hAnsi="Arial" w:cs="Arial"/>
                      <w:color w:val="000000"/>
                      <w:sz w:val="21"/>
                      <w:szCs w:val="21"/>
                    </w:rPr>
                    <w:t>sakazakii</w:t>
                  </w:r>
                  <w:proofErr w:type="spellEnd"/>
                  <w:r>
                    <w:rPr>
                      <w:rFonts w:ascii="Arial" w:hAnsi="Arial" w:cs="Arial"/>
                      <w:color w:val="000000"/>
                      <w:sz w:val="21"/>
                      <w:szCs w:val="21"/>
                    </w:rPr>
                    <w:t xml:space="preserve"> and who we were informed had consumed </w:t>
                  </w:r>
                  <w:proofErr w:type="spellStart"/>
                  <w:r>
                    <w:rPr>
                      <w:rFonts w:ascii="Arial" w:hAnsi="Arial" w:cs="Arial"/>
                      <w:color w:val="000000"/>
                      <w:sz w:val="21"/>
                      <w:szCs w:val="21"/>
                    </w:rPr>
                    <w:t>Similac</w:t>
                  </w:r>
                  <w:proofErr w:type="spellEnd"/>
                  <w:r>
                    <w:rPr>
                      <w:rFonts w:ascii="Arial" w:hAnsi="Arial" w:cs="Arial"/>
                      <w:color w:val="000000"/>
                      <w:sz w:val="21"/>
                      <w:szCs w:val="21"/>
                    </w:rPr>
                    <w:t xml:space="preserve"> PM 60/40 from this lot. This case is under investigation, and at this time the cause of the infant’s </w:t>
                  </w:r>
                  <w:proofErr w:type="spellStart"/>
                  <w:r>
                    <w:rPr>
                      <w:rStyle w:val="Emphasis"/>
                      <w:rFonts w:ascii="Arial" w:hAnsi="Arial" w:cs="Arial"/>
                      <w:color w:val="000000"/>
                      <w:sz w:val="21"/>
                      <w:szCs w:val="21"/>
                    </w:rPr>
                    <w:t>Cronobacter</w:t>
                  </w:r>
                  <w:proofErr w:type="spellEnd"/>
                  <w:r>
                    <w:rPr>
                      <w:rStyle w:val="Emphasis"/>
                      <w:rFonts w:ascii="Arial" w:hAnsi="Arial" w:cs="Arial"/>
                      <w:color w:val="000000"/>
                      <w:sz w:val="21"/>
                      <w:szCs w:val="21"/>
                    </w:rPr>
                    <w:t xml:space="preserve"> </w:t>
                  </w:r>
                  <w:proofErr w:type="spellStart"/>
                  <w:r>
                    <w:rPr>
                      <w:rStyle w:val="Emphasis"/>
                      <w:rFonts w:ascii="Arial" w:hAnsi="Arial" w:cs="Arial"/>
                      <w:color w:val="000000"/>
                      <w:sz w:val="21"/>
                      <w:szCs w:val="21"/>
                    </w:rPr>
                    <w:t>sakazakii</w:t>
                  </w:r>
                  <w:proofErr w:type="spellEnd"/>
                  <w:r>
                    <w:rPr>
                      <w:rFonts w:ascii="Arial" w:hAnsi="Arial" w:cs="Arial"/>
                      <w:color w:val="000000"/>
                      <w:sz w:val="21"/>
                      <w:szCs w:val="21"/>
                    </w:rPr>
                    <w:t> infection has not been determined. We want to extend our heartfelt sympathies to the family.</w:t>
                  </w:r>
                </w:p>
                <w:p w:rsidR="00492884" w:rsidRDefault="00492884">
                  <w:pPr>
                    <w:pStyle w:val="NormalWeb"/>
                    <w:spacing w:before="0" w:beforeAutospacing="0" w:after="225" w:afterAutospacing="0"/>
                    <w:rPr>
                      <w:rFonts w:ascii="Arial" w:hAnsi="Arial" w:cs="Arial"/>
                      <w:color w:val="000000"/>
                      <w:sz w:val="21"/>
                      <w:szCs w:val="21"/>
                    </w:rPr>
                  </w:pPr>
                  <w:r>
                    <w:rPr>
                      <w:rFonts w:ascii="Arial" w:hAnsi="Arial" w:cs="Arial"/>
                      <w:color w:val="000000"/>
                      <w:sz w:val="21"/>
                      <w:szCs w:val="21"/>
                    </w:rPr>
                    <w:t>Importantly, no distributed product has tested positive for the presence of </w:t>
                  </w:r>
                  <w:proofErr w:type="spellStart"/>
                  <w:r>
                    <w:rPr>
                      <w:rStyle w:val="Emphasis"/>
                      <w:rFonts w:ascii="Arial" w:hAnsi="Arial" w:cs="Arial"/>
                      <w:color w:val="000000"/>
                      <w:sz w:val="21"/>
                      <w:szCs w:val="21"/>
                    </w:rPr>
                    <w:t>Cronobacter</w:t>
                  </w:r>
                  <w:proofErr w:type="spellEnd"/>
                  <w:r>
                    <w:rPr>
                      <w:rStyle w:val="Emphasis"/>
                      <w:rFonts w:ascii="Arial" w:hAnsi="Arial" w:cs="Arial"/>
                      <w:color w:val="000000"/>
                      <w:sz w:val="21"/>
                      <w:szCs w:val="21"/>
                    </w:rPr>
                    <w:t xml:space="preserve"> </w:t>
                  </w:r>
                  <w:proofErr w:type="spellStart"/>
                  <w:r>
                    <w:rPr>
                      <w:rStyle w:val="Emphasis"/>
                      <w:rFonts w:ascii="Arial" w:hAnsi="Arial" w:cs="Arial"/>
                      <w:color w:val="000000"/>
                      <w:sz w:val="21"/>
                      <w:szCs w:val="21"/>
                    </w:rPr>
                    <w:t>sakazakii</w:t>
                  </w:r>
                  <w:proofErr w:type="spellEnd"/>
                  <w:r>
                    <w:rPr>
                      <w:rStyle w:val="Emphasis"/>
                      <w:rFonts w:ascii="Arial" w:hAnsi="Arial" w:cs="Arial"/>
                      <w:color w:val="000000"/>
                      <w:sz w:val="21"/>
                      <w:szCs w:val="21"/>
                    </w:rPr>
                    <w:t>. </w:t>
                  </w:r>
                  <w:r>
                    <w:rPr>
                      <w:rFonts w:ascii="Arial" w:hAnsi="Arial" w:cs="Arial"/>
                      <w:color w:val="000000"/>
                      <w:sz w:val="21"/>
                      <w:szCs w:val="21"/>
                    </w:rPr>
                    <w:t xml:space="preserve">Additionally, recently tested retained product samples of </w:t>
                  </w:r>
                  <w:proofErr w:type="spellStart"/>
                  <w:r>
                    <w:rPr>
                      <w:rFonts w:ascii="Arial" w:hAnsi="Arial" w:cs="Arial"/>
                      <w:color w:val="000000"/>
                      <w:sz w:val="21"/>
                      <w:szCs w:val="21"/>
                    </w:rPr>
                    <w:t>Similac</w:t>
                  </w:r>
                  <w:proofErr w:type="spellEnd"/>
                  <w:r>
                    <w:rPr>
                      <w:rFonts w:ascii="Arial" w:hAnsi="Arial" w:cs="Arial"/>
                      <w:color w:val="000000"/>
                      <w:sz w:val="21"/>
                      <w:szCs w:val="21"/>
                    </w:rPr>
                    <w:t xml:space="preserve"> PM 60/40 Lot # 27032K80 (can) / Lot #27032K800 (case) were negative for</w:t>
                  </w:r>
                  <w:r>
                    <w:rPr>
                      <w:rStyle w:val="Emphasis"/>
                      <w:rFonts w:ascii="Arial" w:hAnsi="Arial" w:cs="Arial"/>
                      <w:color w:val="000000"/>
                      <w:sz w:val="21"/>
                      <w:szCs w:val="21"/>
                    </w:rPr>
                    <w:t> </w:t>
                  </w:r>
                  <w:proofErr w:type="spellStart"/>
                  <w:r>
                    <w:rPr>
                      <w:rStyle w:val="Emphasis"/>
                      <w:rFonts w:ascii="Arial" w:hAnsi="Arial" w:cs="Arial"/>
                      <w:color w:val="000000"/>
                      <w:sz w:val="21"/>
                      <w:szCs w:val="21"/>
                    </w:rPr>
                    <w:t>Cronobacter</w:t>
                  </w:r>
                  <w:proofErr w:type="spellEnd"/>
                  <w:r>
                    <w:rPr>
                      <w:rStyle w:val="Emphasis"/>
                      <w:rFonts w:ascii="Arial" w:hAnsi="Arial" w:cs="Arial"/>
                      <w:color w:val="000000"/>
                      <w:sz w:val="21"/>
                      <w:szCs w:val="21"/>
                    </w:rPr>
                    <w:t>.</w:t>
                  </w:r>
                </w:p>
              </w:tc>
            </w:tr>
          </w:tbl>
          <w:p w:rsidR="00492884" w:rsidRDefault="00492884">
            <w:pPr>
              <w:jc w:val="center"/>
            </w:pPr>
          </w:p>
        </w:tc>
      </w:tr>
    </w:tbl>
    <w:p w:rsidR="00492884" w:rsidRDefault="00492884" w:rsidP="00492884">
      <w:pPr>
        <w:pStyle w:val="NormalWeb"/>
        <w:shd w:val="clear" w:color="auto" w:fill="FFFFFF"/>
        <w:rPr>
          <w:rFonts w:ascii="Georgia" w:hAnsi="Georgia"/>
          <w:color w:val="333333"/>
        </w:rPr>
      </w:pPr>
      <w:r>
        <w:rPr>
          <w:rStyle w:val="Strong"/>
          <w:rFonts w:ascii="Georgia" w:hAnsi="Georgia"/>
          <w:color w:val="333333"/>
        </w:rPr>
        <w:t>What Parents and Caregivers Should Do</w:t>
      </w:r>
    </w:p>
    <w:p w:rsidR="00492884" w:rsidRDefault="00492884" w:rsidP="00492884">
      <w:pPr>
        <w:pStyle w:val="NormalWeb"/>
        <w:shd w:val="clear" w:color="auto" w:fill="FFFFFF"/>
        <w:rPr>
          <w:rFonts w:ascii="Georgia" w:hAnsi="Georgia"/>
          <w:color w:val="333333"/>
        </w:rPr>
      </w:pPr>
      <w:r>
        <w:rPr>
          <w:rFonts w:ascii="Georgia" w:hAnsi="Georgia"/>
          <w:color w:val="333333"/>
        </w:rPr>
        <w:t>The products under recall have a multidigit number on the bottom of the container starting with the first two digits 22 through 37, contains K8, SH, or Z2 and with an expiration date of April 1, 2022, or after.</w:t>
      </w:r>
    </w:p>
    <w:p w:rsidR="00492884" w:rsidRDefault="00492884" w:rsidP="00492884">
      <w:pPr>
        <w:pStyle w:val="NormalWeb"/>
        <w:shd w:val="clear" w:color="auto" w:fill="FFFFFF"/>
        <w:spacing w:before="0" w:after="0"/>
        <w:rPr>
          <w:rFonts w:ascii="Georgia" w:hAnsi="Georgia"/>
          <w:color w:val="333333"/>
        </w:rPr>
      </w:pPr>
      <w:r>
        <w:rPr>
          <w:rFonts w:ascii="Georgia" w:hAnsi="Georgia"/>
          <w:color w:val="333333"/>
        </w:rPr>
        <w:t>To find out if the product you have is included in this recall, visit </w:t>
      </w:r>
      <w:proofErr w:type="spellStart"/>
      <w:r>
        <w:rPr>
          <w:rFonts w:ascii="Georgia" w:hAnsi="Georgia"/>
          <w:color w:val="333333"/>
        </w:rPr>
        <w:fldChar w:fldCharType="begin"/>
      </w:r>
      <w:r>
        <w:rPr>
          <w:rFonts w:ascii="Georgia" w:hAnsi="Georgia"/>
          <w:color w:val="333333"/>
        </w:rPr>
        <w:instrText xml:space="preserve"> HYPERLINK "http://www.similacrecall.com/" </w:instrText>
      </w:r>
      <w:r>
        <w:rPr>
          <w:rFonts w:ascii="Georgia" w:hAnsi="Georgia"/>
          <w:color w:val="333333"/>
        </w:rPr>
        <w:fldChar w:fldCharType="separate"/>
      </w:r>
      <w:r>
        <w:rPr>
          <w:rStyle w:val="Hyperlink"/>
          <w:rFonts w:ascii="Georgia" w:hAnsi="Georgia"/>
          <w:color w:val="007CBA"/>
        </w:rPr>
        <w:t>similacrecall.com</w:t>
      </w:r>
      <w:r>
        <w:rPr>
          <w:rFonts w:ascii="Georgia" w:hAnsi="Georgia"/>
          <w:color w:val="333333"/>
        </w:rPr>
        <w:fldChar w:fldCharType="end"/>
      </w:r>
      <w:hyperlink r:id="rId6" w:history="1">
        <w:r>
          <w:rPr>
            <w:rStyle w:val="sr-only"/>
            <w:rFonts w:ascii="Georgia" w:hAnsi="Georgia"/>
            <w:color w:val="007CBA"/>
            <w:u w:val="single"/>
            <w:bdr w:val="none" w:sz="0" w:space="0" w:color="auto" w:frame="1"/>
          </w:rPr>
          <w:t>External</w:t>
        </w:r>
        <w:proofErr w:type="spellEnd"/>
        <w:r>
          <w:rPr>
            <w:rStyle w:val="sr-only"/>
            <w:rFonts w:ascii="Georgia" w:hAnsi="Georgia"/>
            <w:color w:val="007CBA"/>
            <w:u w:val="single"/>
            <w:bdr w:val="none" w:sz="0" w:space="0" w:color="auto" w:frame="1"/>
          </w:rPr>
          <w:t xml:space="preserve"> Link Disclaimer</w:t>
        </w:r>
      </w:hyperlink>
      <w:r>
        <w:rPr>
          <w:rFonts w:ascii="Georgia" w:hAnsi="Georgia"/>
          <w:color w:val="333333"/>
        </w:rPr>
        <w:t> and type in the code on the bottom of the package, or call +1-800-986-8540 (U.S.) and follow the instructions provided. No action is needed for previously consumed product. If you have questions about feeding your child, contact your healthcare professional.</w:t>
      </w:r>
    </w:p>
    <w:p w:rsidR="00492884" w:rsidRPr="00492884" w:rsidRDefault="00492884" w:rsidP="00492884">
      <w:pPr>
        <w:pStyle w:val="NormalWeb"/>
        <w:shd w:val="clear" w:color="auto" w:fill="FFFFFF"/>
        <w:spacing w:before="0" w:after="0"/>
        <w:rPr>
          <w:rFonts w:ascii="Georgia" w:hAnsi="Georgia"/>
          <w:color w:val="333333"/>
        </w:rPr>
      </w:pPr>
      <w:r>
        <w:rPr>
          <w:rFonts w:ascii="Georgia" w:hAnsi="Georgia"/>
          <w:color w:val="333333"/>
        </w:rPr>
        <w:t>Some product was distributed to countries outside the U.S. A list of these products can be found at </w:t>
      </w:r>
      <w:proofErr w:type="spellStart"/>
      <w:r>
        <w:rPr>
          <w:rFonts w:ascii="Georgia" w:hAnsi="Georgia"/>
          <w:color w:val="333333"/>
        </w:rPr>
        <w:fldChar w:fldCharType="begin"/>
      </w:r>
      <w:r>
        <w:rPr>
          <w:rFonts w:ascii="Georgia" w:hAnsi="Georgia"/>
          <w:color w:val="333333"/>
        </w:rPr>
        <w:instrText xml:space="preserve"> HYPERLINK "http://www.similacrecall.com/" </w:instrText>
      </w:r>
      <w:r>
        <w:rPr>
          <w:rFonts w:ascii="Georgia" w:hAnsi="Georgia"/>
          <w:color w:val="333333"/>
        </w:rPr>
        <w:fldChar w:fldCharType="separate"/>
      </w:r>
      <w:r>
        <w:rPr>
          <w:rStyle w:val="Hyperlink"/>
          <w:rFonts w:ascii="Georgia" w:hAnsi="Georgia"/>
          <w:color w:val="007CBA"/>
        </w:rPr>
        <w:t>similacrecall.com</w:t>
      </w:r>
      <w:r>
        <w:rPr>
          <w:rFonts w:ascii="Georgia" w:hAnsi="Georgia"/>
          <w:color w:val="333333"/>
        </w:rPr>
        <w:fldChar w:fldCharType="end"/>
      </w:r>
      <w:hyperlink r:id="rId7" w:history="1">
        <w:r>
          <w:rPr>
            <w:rStyle w:val="sr-only"/>
            <w:rFonts w:ascii="Georgia" w:hAnsi="Georgia"/>
            <w:color w:val="007CBA"/>
            <w:u w:val="single"/>
            <w:bdr w:val="none" w:sz="0" w:space="0" w:color="auto" w:frame="1"/>
          </w:rPr>
          <w:t>External</w:t>
        </w:r>
        <w:proofErr w:type="spellEnd"/>
        <w:r>
          <w:rPr>
            <w:rStyle w:val="sr-only"/>
            <w:rFonts w:ascii="Georgia" w:hAnsi="Georgia"/>
            <w:color w:val="007CBA"/>
            <w:u w:val="single"/>
            <w:bdr w:val="none" w:sz="0" w:space="0" w:color="auto" w:frame="1"/>
          </w:rPr>
          <w:t xml:space="preserve"> Link Disclaimer</w:t>
        </w:r>
      </w:hyperlink>
      <w:r>
        <w:rPr>
          <w:rFonts w:ascii="Georgia" w:hAnsi="Georgia"/>
          <w:color w:val="333333"/>
        </w:rPr>
        <w:t>.</w:t>
      </w:r>
      <w:bookmarkStart w:id="0" w:name="_GoBack"/>
      <w:bookmarkEnd w:id="0"/>
    </w:p>
    <w:sectPr w:rsidR="00492884" w:rsidRPr="004928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884"/>
    <w:rsid w:val="00492884"/>
    <w:rsid w:val="00BC6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3AD36"/>
  <w15:chartTrackingRefBased/>
  <w15:docId w15:val="{BB7951A2-6925-4B8A-A92E-E9584EC2E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semiHidden/>
    <w:unhideWhenUsed/>
    <w:qFormat/>
    <w:rsid w:val="00492884"/>
    <w:pPr>
      <w:spacing w:before="100" w:beforeAutospacing="1" w:after="100" w:afterAutospacing="1" w:line="240" w:lineRule="auto"/>
      <w:outlineLvl w:val="1"/>
    </w:pPr>
    <w:rPr>
      <w:rFonts w:ascii="Calibri" w:eastAsia="Times New Roman" w:hAnsi="Calibri" w:cs="Calibri"/>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92884"/>
    <w:rPr>
      <w:rFonts w:ascii="Calibri" w:eastAsia="Times New Roman" w:hAnsi="Calibri" w:cs="Calibri"/>
      <w:b/>
      <w:bCs/>
      <w:sz w:val="36"/>
      <w:szCs w:val="36"/>
    </w:rPr>
  </w:style>
  <w:style w:type="character" w:styleId="Hyperlink">
    <w:name w:val="Hyperlink"/>
    <w:basedOn w:val="DefaultParagraphFont"/>
    <w:uiPriority w:val="99"/>
    <w:semiHidden/>
    <w:unhideWhenUsed/>
    <w:rsid w:val="00492884"/>
    <w:rPr>
      <w:color w:val="0000FF"/>
      <w:u w:val="single"/>
    </w:rPr>
  </w:style>
  <w:style w:type="paragraph" w:styleId="NormalWeb">
    <w:name w:val="Normal (Web)"/>
    <w:basedOn w:val="Normal"/>
    <w:uiPriority w:val="99"/>
    <w:unhideWhenUsed/>
    <w:rsid w:val="00492884"/>
    <w:pPr>
      <w:spacing w:before="100" w:beforeAutospacing="1" w:after="100" w:afterAutospacing="1" w:line="240" w:lineRule="auto"/>
    </w:pPr>
    <w:rPr>
      <w:rFonts w:ascii="Calibri" w:hAnsi="Calibri" w:cs="Calibri"/>
    </w:rPr>
  </w:style>
  <w:style w:type="character" w:styleId="Strong">
    <w:name w:val="Strong"/>
    <w:basedOn w:val="DefaultParagraphFont"/>
    <w:uiPriority w:val="22"/>
    <w:qFormat/>
    <w:rsid w:val="00492884"/>
    <w:rPr>
      <w:b/>
      <w:bCs/>
    </w:rPr>
  </w:style>
  <w:style w:type="character" w:styleId="Emphasis">
    <w:name w:val="Emphasis"/>
    <w:basedOn w:val="DefaultParagraphFont"/>
    <w:uiPriority w:val="20"/>
    <w:qFormat/>
    <w:rsid w:val="00492884"/>
    <w:rPr>
      <w:i/>
      <w:iCs/>
    </w:rPr>
  </w:style>
  <w:style w:type="character" w:customStyle="1" w:styleId="sr-only">
    <w:name w:val="sr-only"/>
    <w:basedOn w:val="DefaultParagraphFont"/>
    <w:rsid w:val="00492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509287">
      <w:bodyDiv w:val="1"/>
      <w:marLeft w:val="0"/>
      <w:marRight w:val="0"/>
      <w:marTop w:val="0"/>
      <w:marBottom w:val="0"/>
      <w:divBdr>
        <w:top w:val="none" w:sz="0" w:space="0" w:color="auto"/>
        <w:left w:val="none" w:sz="0" w:space="0" w:color="auto"/>
        <w:bottom w:val="none" w:sz="0" w:space="0" w:color="auto"/>
        <w:right w:val="none" w:sz="0" w:space="0" w:color="auto"/>
      </w:divBdr>
    </w:div>
    <w:div w:id="143250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da.gov/about-fda/website-policies/website-disclaimer"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da.gov/about-fda/website-policies/website-disclaimer" TargetMode="External"/><Relationship Id="rId11" Type="http://schemas.openxmlformats.org/officeDocument/2006/relationships/customXml" Target="../customXml/item2.xml"/><Relationship Id="rId5" Type="http://schemas.openxmlformats.org/officeDocument/2006/relationships/hyperlink" Target="https://lnks.gd/l/eyJhbGciOiJIUzI1NiJ9.eyJidWxsZXRpbl9saW5rX2lkIjoxMDEsInVyaSI6ImJwMjpjbGljayIsImJ1bGxldGluX2lkIjoiMjAyMjAzMDkuNTQ2MjQyMTEiLCJ1cmwiOiJodHRwczovL3d3dy5mZGEuZ292L3NhZmV0eS9yZWNhbGxzLW1hcmtldC13aXRoZHJhd2Fscy1zYWZldHktYWxlcnRzL2FiYm90dC12b2x1bnRhcmlseS1leHBhbmRzLXJlY2FsbC1wb3dkZXItZm9ybXVsYXMtbWFudWZhY3R1cmVkLW9uZS1wbGFudD91dG1fbWVkaXVtPWVtYWlsJnV0bV9zb3VyY2U9Z292ZGVsaXZlcnkifQ.p5NXer6OylJ9BZTf2TG_DplzMAxQ9qpePGT32ZIcsvE/s/1510712437/br/127800282292-l" TargetMode="External"/><Relationship Id="rId10" Type="http://schemas.openxmlformats.org/officeDocument/2006/relationships/customXml" Target="../customXml/item1.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B654A4-8786-4308-AA4F-99225D4A077F}"/>
</file>

<file path=customXml/itemProps2.xml><?xml version="1.0" encoding="utf-8"?>
<ds:datastoreItem xmlns:ds="http://schemas.openxmlformats.org/officeDocument/2006/customXml" ds:itemID="{15B9422C-7EAE-4E35-9E7E-D0EEB09A447C}"/>
</file>

<file path=customXml/itemProps3.xml><?xml version="1.0" encoding="utf-8"?>
<ds:datastoreItem xmlns:ds="http://schemas.openxmlformats.org/officeDocument/2006/customXml" ds:itemID="{9899D442-4ADC-498E-8953-88F786640317}"/>
</file>

<file path=docProps/app.xml><?xml version="1.0" encoding="utf-8"?>
<Properties xmlns="http://schemas.openxmlformats.org/officeDocument/2006/extended-properties" xmlns:vt="http://schemas.openxmlformats.org/officeDocument/2006/docPropsVTypes">
  <Template>Normal</Template>
  <TotalTime>5</TotalTime>
  <Pages>1</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2022-03-09T17:31:00Z</dcterms:created>
  <dcterms:modified xsi:type="dcterms:W3CDTF">2022-03-09T17:38:00Z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